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LC-0015 · IP</w:t>
      </w:r>
    </w:p>
    <w:p>
      <w:pPr>
        <w:pStyle w:val="Title"/>
      </w:pPr>
      <w:r>
        <w:t xml:space="preserve">No Trade Secrets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Confidential information is protected through contract and equity alone, despite the TRIPS obligation on undisclosed information.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Agreement on Trade-Related Aspects of Intellectual Property Rights, art. 39</w:t>
      </w:r>
    </w:p>
    <w:p>
      <w:pPr>
        <w:pStyle w:val="Bullet"/>
      </w:pPr>
      <w:r>
        <w:t xml:space="preserve">•  John Richard Brady v. Chemical Process Equipments (P) Ltd., AIR 1987 Del 372</w:t>
      </w:r>
    </w:p>
    <w:p>
      <w:pPr>
        <w:pStyle w:val="Bullet"/>
      </w:pPr>
      <w:r>
        <w:t xml:space="preserve">•  Law Commission of India, Report No. 289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https://firstprecedent.org/lacunae/no-trade-secrets-statute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