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LC-0012 · Civil Procedure</w:t>
      </w:r>
    </w:p>
    <w:p>
      <w:pPr>
        <w:pStyle w:val="Title"/>
      </w:pPr>
      <w:r>
        <w:t xml:space="preserve">No Rules on Third-Party Litigation Funding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Funding by non-lawyers is not prohibited, but nothing regulates disclosure, control or adverse costs.</w:t>
      </w:r>
    </w:p>
    <w:p>
      <w:pPr>
        <w:pStyle w:val="Guidance"/>
      </w:pPr>
      <w:r>
        <w:t xml:space="preserve">Authorities to start from. These are places to begin, listed by the editors. Read each one in the original and check the citation before you rely on it.</w:t>
      </w:r>
    </w:p>
    <w:p>
      <w:pPr>
        <w:pStyle w:val="Bullet"/>
      </w:pPr>
      <w:r>
        <w:t xml:space="preserve">•  Bar Council of India v. A.K. Balaji, (2018) 5 SCC 379</w:t>
      </w:r>
    </w:p>
    <w:p>
      <w:pPr>
        <w:pStyle w:val="Bullet"/>
      </w:pPr>
      <w:r>
        <w:t xml:space="preserve">•  Ram Coomar Coondoo v. Chunder Canto Mookerjee, (1876) 4 IA 23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https://firstprecedent.org/lacunae/no-third-party-funding-rules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