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LC-0031 · Tax</w:t>
      </w:r>
    </w:p>
    <w:p>
      <w:pPr>
        <w:pStyle w:val="Title"/>
      </w:pPr>
      <w:r>
        <w:t xml:space="preserve">A Taxpayers’ Charter without Remedies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Act requires a charter; nothing follows if the department breaches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119A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https://firstprecedent.org/lacunae/no-taxpayer-charter-with-teeth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