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LC-0001 · Tort</w:t>
      </w:r>
    </w:p>
    <w:p>
      <w:pPr>
        <w:pStyle w:val="Title"/>
      </w:pPr>
      <w:r>
        <w:t xml:space="preserve">No Statutory Tort of Privacy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Privacy is a fundamental right against the State, but a person whose privacy is invaded by another person has no clear civil cause of 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R. Rajagopal v. State of T.N., (1994) 6 SCC 632</w:t>
      </w:r>
    </w:p>
    <w:p>
      <w:pPr>
        <w:pStyle w:val="Bullet"/>
      </w:pPr>
      <w:r>
        <w:t xml:space="preserve">•  Digital Personal Data Protection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https://firstprecedent.org/lacunae/no-statutory-tort-of-privacy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