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LC-0070 · Constitutional</w:t>
      </w:r>
    </w:p>
    <w:p>
      <w:pPr>
        <w:pStyle w:val="Title"/>
      </w:pPr>
      <w:r>
        <w:t xml:space="preserve">No Statute on Complaints against Judges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Short of impeachment, misconduct by a judge is dealt with by an in-house procedure that has no statutory basis.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Judges (Inquiry) Act, 1968</w:t>
      </w:r>
    </w:p>
    <w:p>
      <w:pPr>
        <w:pStyle w:val="Bullet"/>
      </w:pPr>
      <w:r>
        <w:t xml:space="preserve">•  C. Ravichandran Iyer v. Justice A.M. Bhattacharjee, (1995) 5 SCC 457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https://firstprecedent.org/lacunae/no-statute-on-complaints-against-judges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