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LC-0076 · International (Public)</w:t>
      </w:r>
    </w:p>
    <w:p>
      <w:pPr>
        <w:pStyle w:val="Title"/>
      </w:pPr>
      <w:r>
        <w:t xml:space="preserve">No Space Activities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Private launches and satellites are authorised by policy, with no statute on licensing or liability for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Treaty on Principles Governing the Activities of States in the Exploration and Use of Outer Space, Jan. 27, 1967, 610 U.N.T.S. 205</w:t>
      </w:r>
    </w:p>
    <w:p>
      <w:pPr>
        <w:pStyle w:val="Bullet"/>
      </w:pPr>
      <w:r>
        <w:t xml:space="preserve">•  Draft Space Activities Bill,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https://firstprecedent.org/lacunae/no-space-activities-law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