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LC-0051 · Media</w:t>
      </w:r>
    </w:p>
    <w:p>
      <w:pPr>
        <w:pStyle w:val="Title"/>
      </w:pPr>
      <w:r>
        <w:t xml:space="preserve">No Protection for Journalists’ Sources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 journalist can be compelled to name a source; the Law Commission recommended a qualified privilege in 1983.</w:t>
      </w:r>
    </w:p>
    <w:p>
      <w:pPr>
        <w:pStyle w:val="Guidance"/>
      </w:pPr>
      <w:r>
        <w:t xml:space="preserve">Authorities to start from. These are places to begin, listed by the editors. Read each one in the original and check the citation before you rely on it.</w:t>
      </w:r>
    </w:p>
    <w:p>
      <w:pPr>
        <w:pStyle w:val="Bullet"/>
      </w:pPr>
      <w:r>
        <w:t xml:space="preserve">•  Law Commission of India, Report No. 93 (1983)</w:t>
      </w:r>
    </w:p>
    <w:p>
      <w:pPr>
        <w:pStyle w:val="Bullet"/>
      </w:pPr>
      <w:r>
        <w:t xml:space="preserve">•  Press Council Act, 1978, § 15(2)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https://firstprecedent.org/lacunae/no-shield-law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