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LC-0006 · Criminal</w:t>
      </w:r>
    </w:p>
    <w:p>
      <w:pPr>
        <w:pStyle w:val="Title"/>
      </w:pPr>
      <w:r>
        <w:t xml:space="preserve">No Sentencing Guidelines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Indian criminal statutes give wide ranges and no structured guidance; the Supreme Court has noted the gap more than once.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Punjab v. Prem Sagar, (2008) 7 SCC 550</w:t>
      </w:r>
    </w:p>
    <w:p>
      <w:pPr>
        <w:pStyle w:val="Bullet"/>
      </w:pPr>
      <w:r>
        <w:t xml:space="preserve">•  Soman v. State of Kerala, (2013) 11 SCC 382</w:t>
      </w:r>
    </w:p>
    <w:p>
      <w:pPr>
        <w:pStyle w:val="Bullet"/>
      </w:pPr>
      <w:r>
        <w:t xml:space="preserve">•  Committee on Reforms of Criminal Justice System, Report (2003)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https://firstprecedent.org/lacunae/no-sentencing-guidelines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