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LC-0029 · Labour</w:t>
      </w:r>
    </w:p>
    <w:p>
      <w:pPr>
        <w:pStyle w:val="Title"/>
      </w:pPr>
      <w:r>
        <w:t xml:space="preserve">No Limit on After-Hours Work for White-Collar Staff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Working hours law covers factories and shops; salaried professionals in exempt establishments have no ceiling.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Factories Act, 1948, §§ 51–59</w:t>
      </w:r>
    </w:p>
    <w:p>
      <w:pPr>
        <w:pStyle w:val="Bullet"/>
      </w:pPr>
      <w:r>
        <w:t xml:space="preserve">•  Right to Disconnect Bill, 2018 (private member’s Bill)</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https://firstprecedent.org/lacunae/no-right-to-disconnect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