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LC-0033 · Competition</w:t>
      </w:r>
    </w:p>
    <w:p>
      <w:pPr>
        <w:pStyle w:val="Title"/>
      </w:pPr>
      <w:r>
        <w:t xml:space="preserve">Compensation for Cartel Victims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Act allows compensation claims after a finding, but almost none has been decided.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53N</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https://firstprecedent.org/lacunae/no-private-damages-in-competition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