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LC-0016 · IP</w:t>
      </w:r>
    </w:p>
    <w:p>
      <w:pPr>
        <w:pStyle w:val="Title"/>
      </w:pPr>
      <w:r>
        <w:t xml:space="preserve">No Statute on Personality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Publicity rights have been built by High Courts from privacy and passing off, without a statute and with uncertain rules on what survives death.</w:t>
      </w:r>
    </w:p>
    <w:p>
      <w:pPr>
        <w:pStyle w:val="Guidance"/>
      </w:pPr>
      <w:r>
        <w:t xml:space="preserve">Authorities to start from. These are places to begin, listed by the editors. Read each one in the original and check the citation before you rely on it.</w:t>
      </w:r>
    </w:p>
    <w:p>
      <w:pPr>
        <w:pStyle w:val="Bullet"/>
      </w:pPr>
      <w:r>
        <w:t xml:space="preserve">•  ICC Development (International) Ltd. v. Arvee Enterprises, 2003 SCC OnLine Del 2</w:t>
      </w:r>
    </w:p>
    <w:p>
      <w:pPr>
        <w:pStyle w:val="Bullet"/>
      </w:pPr>
      <w:r>
        <w:t xml:space="preserve">•  Anil Kapoor v. Simply Life India, 2023 SCC OnLine Del 6914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https://firstprecedent.org/lacunae/no-personality-rights-statute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