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LC-0039 · Banking</w:t>
      </w:r>
    </w:p>
    <w:p>
      <w:pPr>
        <w:pStyle w:val="Title"/>
      </w:pPr>
      <w:r>
        <w:t xml:space="preserve">Personal Insolvency Still under 1909 and 1920 Laws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Code’s provisions for individuals are in force only for personal guarantors; everyone else is under colonial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pt. III</w:t>
      </w:r>
    </w:p>
    <w:p>
      <w:pPr>
        <w:pStyle w:val="Bullet"/>
      </w:pPr>
      <w:r>
        <w:t xml:space="preserve">•  Provincial Insolvency Act, 1920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https://firstprecedent.org/lacunae/no-personal-insolvency-in-force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