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LC-0073 · Corporate</w:t>
      </w:r>
    </w:p>
    <w:p>
      <w:pPr>
        <w:pStyle w:val="Title"/>
      </w:pPr>
      <w:r>
        <w:t xml:space="preserve">No Rule on a Parent Company’s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When a subsidiary causes mass harm, Indian law has no settled basis for reaching the parent that controlled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Carbide Corporation v. Union of India, (1991) 4 SCC 584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https://firstprecedent.org/lacunae/no-parent-company-liability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