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LC-0022 · Family</w:t>
      </w:r>
    </w:p>
    <w:p>
      <w:pPr>
        <w:pStyle w:val="Title"/>
      </w:pPr>
      <w:r>
        <w:t xml:space="preserve">No Legal Recognition of Same-Sex Couples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Court left marriage and civil unions to Parliament; couples have no status for adoption, succession or benefits.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Supriyo v. Union of India, 2023 SCC OnLine SC 1348</w:t>
      </w:r>
    </w:p>
    <w:p>
      <w:pPr>
        <w:pStyle w:val="Bullet"/>
      </w:pPr>
      <w:r>
        <w:t xml:space="preserve">•  Special Marriage Act, 1954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https://firstprecedent.org/lacunae/no-marriage-equality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