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LC-0041 · Banking</w:t>
      </w:r>
    </w:p>
    <w:p>
      <w:pPr>
        <w:pStyle w:val="Title"/>
      </w:pPr>
      <w:r>
        <w:t xml:space="preserve">Customer Liability for Online Banking Fraud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Governed by a Reserve Bank circular, with no statute fixing who bears the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Reserve Bank of India, Customer Protection: Limiting Liability of Customers in Unauthorised Electronic Banking Transactions (6 July 2017)</w:t>
      </w:r>
    </w:p>
    <w:p>
      <w:pPr>
        <w:pStyle w:val="Bullet"/>
      </w:pPr>
      <w:r>
        <w:t xml:space="preserve">•  Payment and Settlement Systems Act, 2007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https://firstprecedent.org/lacunae/no-liability-for-unauthorised-digital-transactions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