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LC-0054 · Environment</w:t>
      </w:r>
    </w:p>
    <w:p>
      <w:pPr>
        <w:pStyle w:val="Title"/>
      </w:pPr>
      <w:r>
        <w:t xml:space="preserve">No Route to Sue for Climate Harm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recognised right against the effects of climate change, with no cause of action against emitters.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National Green Tribunal Act, 2010, §§ 14–15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https://firstprecedent.org/lacunae/no-liability-for-climate-damage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