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LC-0002 · Criminal</w:t>
      </w:r>
    </w:p>
    <w:p>
      <w:pPr>
        <w:pStyle w:val="Title"/>
      </w:pPr>
      <w:r>
        <w:t xml:space="preserve">No Compensation for Wrongful Prosecution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An acquitted person who spent years in custody has no statutory claim; relief depends on a writ court’s discretion.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Law Commission of India, Report No. 277, Wrongful Prosecution (Miscarriage of Justice): Legal Remedies (2018)</w:t>
      </w:r>
    </w:p>
    <w:p>
      <w:pPr>
        <w:pStyle w:val="Bullet"/>
      </w:pPr>
      <w:r>
        <w:t xml:space="preserve">•  Rudul Sah v. State of Bihar, (1983) 4 SCC 141</w:t>
      </w:r>
    </w:p>
    <w:p>
      <w:pPr>
        <w:pStyle w:val="Bullet"/>
      </w:pPr>
      <w:r>
        <w:t xml:space="preserve">•  Babloo Chauhan v. State (NCT of Delhi), 2017 SCC OnLine Del 12045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https://firstprecedent.org/lacunae/no-law-on-wrongful-prosecution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