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LC-0068 · Constitutional</w:t>
      </w:r>
    </w:p>
    <w:p>
      <w:pPr>
        <w:pStyle w:val="Title"/>
      </w:pPr>
      <w:r>
        <w:t xml:space="preserve">No Law on Political Parties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Parties are registered but nothing regulates their internal elections, accounts or candidate selection.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Representation of the People Act, 1951, § 29A</w:t>
      </w:r>
    </w:p>
    <w:p>
      <w:pPr>
        <w:pStyle w:val="Bullet"/>
      </w:pPr>
      <w:r>
        <w:t xml:space="preserve">•  Law Commission of India, Report No. 255 (2015)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https://firstprecedent.org/lacunae/no-law-on-political-parties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