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LC-0020 · Labour</w:t>
      </w:r>
    </w:p>
    <w:p>
      <w:pPr>
        <w:pStyle w:val="Title"/>
      </w:pPr>
      <w:r>
        <w:t xml:space="preserve">The Employment Status of Platform Workers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Social Security Code defines gig and platform workers but leaves them outside the employment relationship and its protections.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Social Security, 2020, §§ 2(35), 2(61), 114</w:t>
      </w:r>
    </w:p>
    <w:p>
      <w:pPr>
        <w:pStyle w:val="Bullet"/>
      </w:pPr>
      <w:r>
        <w:t xml:space="preserve">•  Dharangadhara Chemical Works Ltd. v. State of Saurashtra, AIR 1957 SC 264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https://firstprecedent.org/lacunae/no-law-on-gig-worker-status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