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LC-0075 · Human Rights</w:t>
      </w:r>
    </w:p>
    <w:p>
      <w:pPr>
        <w:pStyle w:val="Title"/>
      </w:pPr>
      <w:r>
        <w:t xml:space="preserve">No Law on Enforced Disappearance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signed the Convention in 2007 but has not ratified it, and no offence of enforced disappearance exists.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International Convention for the Protection of All Persons from Enforced Disappearance, Dec. 20, 2006, 2716 U.N.T.S. 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https://firstprecedent.org/lacunae/no-law-on-enforced-disappearance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