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LC-0014 · Tech &amp; Data</w:t>
      </w:r>
    </w:p>
    <w:p>
      <w:pPr>
        <w:pStyle w:val="Title"/>
      </w:pPr>
      <w:r>
        <w:t xml:space="preserve">No Law on Liability for Automated Decisions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Neither the IT Act nor the data protection statute says who answers for harm caused by an automated system, or gives a right to an explanation.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w:t>
      </w:r>
    </w:p>
    <w:p>
      <w:pPr>
        <w:pStyle w:val="Bullet"/>
      </w:pPr>
      <w:r>
        <w:t xml:space="preserve">•  Digital Personal Data Protection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https://firstprecedent.org/lacunae/no-law-on-ai-liability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