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LC-0019 · Family</w:t>
      </w:r>
    </w:p>
    <w:p>
      <w:pPr>
        <w:pStyle w:val="Title"/>
      </w:pPr>
      <w:r>
        <w:t xml:space="preserve">No Statutory Ground of Irretrievable Breakdown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Only the Supreme Court, under Article 142, can dissolve a dead marriage where one spouse refuses; no family court can.</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Naveen Kohli v. Neelu Kohli, (2006) 4 SCC 558</w:t>
      </w:r>
    </w:p>
    <w:p>
      <w:pPr>
        <w:pStyle w:val="Bullet"/>
      </w:pPr>
      <w:r>
        <w:t xml:space="preserve">•  Shilpa Sailesh v. Varun Sreenivasan, (2023) 14 SCC 231</w:t>
      </w:r>
    </w:p>
    <w:p>
      <w:pPr>
        <w:pStyle w:val="Bullet"/>
      </w:pPr>
      <w:r>
        <w:t xml:space="preserve">•  Law Commission of India, Report No. 71 (1978)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https://firstprecedent.org/lacunae/no-irretrievable-breakdown-ground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