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LC-0036 · Securities</w:t>
      </w:r>
    </w:p>
    <w:p>
      <w:pPr>
        <w:pStyle w:val="Title"/>
      </w:pPr>
      <w:r>
        <w:t xml:space="preserve">No Route for Investors to Recover Losses from Fraud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SEBI can penalise and disgorge; defrauded investors rarely see the money.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11B</w:t>
      </w:r>
    </w:p>
    <w:p>
      <w:pPr>
        <w:pStyle w:val="Bullet"/>
      </w:pPr>
      <w:r>
        <w:t xml:space="preserve">•  Companies Act, 2013, § 245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https://firstprecedent.org/lacunae/no-investor-class-recovery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