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LC-0057 · International (Public)</w:t>
      </w:r>
    </w:p>
    <w:p>
      <w:pPr>
        <w:pStyle w:val="Title"/>
      </w:pPr>
      <w:r>
        <w:t xml:space="preserve">No Law on Genocide or Crimes against Humanity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India ratified the Genocide Convention in 1959 and has never enacted the offence.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Prevention and Punishment of the Crime of Genocide, Dec. 9, 1948, 78 U.N.T.S. 277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https://firstprecedent.org/lacunae/no-implementing-law-for-genocide-convention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