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Lacuna · LC-0030 · Tax</w:t>
      </w:r>
    </w:p>
    <w:p>
      <w:pPr>
        <w:pStyle w:val="Title"/>
      </w:pPr>
      <w:r>
        <w:t xml:space="preserve">Years without a GST Appellate Tribunal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gap</w:t>
      </w:r>
    </w:p>
    <w:p>
      <w:pPr>
        <w:pStyle w:val="Guidance"/>
      </w:pPr>
      <w:r>
        <w:t xml:space="preserve">What Indian law does not cover, stated precisely.</w:t>
      </w:r>
    </w:p>
    <w:p/>
    <w:p>
      <w:pPr>
        <w:pStyle w:val="Heading1"/>
      </w:pPr>
      <w:r>
        <w:t xml:space="preserve">Who is affected</w:t>
      </w:r>
    </w:p>
    <w:p>
      <w:pPr>
        <w:pStyle w:val="Guidance"/>
      </w:pPr>
      <w:r>
        <w:t xml:space="preserve">The people or cases left without a rule or a remedy.</w:t>
      </w:r>
    </w:p>
    <w:p/>
    <w:p>
      <w:pPr>
        <w:pStyle w:val="Heading1"/>
      </w:pPr>
      <w:r>
        <w:t xml:space="preserve">How the gap arose</w:t>
      </w:r>
    </w:p>
    <w:p>
      <w:pPr>
        <w:pStyle w:val="Guidance"/>
      </w:pPr>
      <w:r>
        <w:t xml:space="preserve">Bills that lapsed, reports not acted on, cases that left it to Parliament.</w:t>
      </w:r>
    </w:p>
    <w:p/>
    <w:p>
      <w:pPr>
        <w:pStyle w:val="Heading1"/>
      </w:pPr>
      <w:r>
        <w:t xml:space="preserve">What others do</w:t>
      </w:r>
    </w:p>
    <w:p>
      <w:pPr>
        <w:pStyle w:val="Guidance"/>
      </w:pPr>
      <w:r>
        <w:t xml:space="preserve">How one or two other countries deal with it.</w:t>
      </w:r>
    </w:p>
    <w:p/>
    <w:p>
      <w:pPr>
        <w:pStyle w:val="Heading1"/>
      </w:pPr>
      <w:r>
        <w:t xml:space="preserve">What could be done</w:t>
      </w:r>
    </w:p>
    <w:p>
      <w:pPr>
        <w:pStyle w:val="Guidance"/>
      </w:pPr>
      <w:r>
        <w:t xml:space="preserve">The realistic options and the one you prefer.</w:t>
      </w:r>
    </w:p>
    <w:p/>
    <w:p>
      <w:pPr>
        <w:pStyle w:val="Heading1"/>
      </w:pPr>
      <w:r>
        <w:t xml:space="preserve">Notes for the writer (delete before submitting)</w:t>
      </w:r>
    </w:p>
    <w:p>
      <w:pPr>
        <w:pStyle w:val="Guidance"/>
      </w:pPr>
      <w:r>
        <w:t xml:space="preserve">Scope of this entry. The tribunal the 2017 Act provides for was not constituted for years, sending every second appeal to the High Courts.</w:t>
      </w:r>
    </w:p>
    <w:p>
      <w:pPr>
        <w:pStyle w:val="Guidance"/>
      </w:pPr>
      <w:r>
        <w:t xml:space="preserve">Authorities to start from. These are places to begin, listed by the editors. Read each one in the original and check the citation before you rely on it.</w:t>
      </w:r>
    </w:p>
    <w:p>
      <w:pPr>
        <w:pStyle w:val="Bullet"/>
      </w:pPr>
      <w:r>
        <w:t xml:space="preserve">•  Central Goods and Services Tax Act, 2017, §§ 109–112</w:t>
      </w:r>
    </w:p>
    <w:p>
      <w:pPr>
        <w:pStyle w:val="Bullet"/>
      </w:pPr>
      <w:r>
        <w:t xml:space="preserve">•  Revenue Bar Assn. v. Union of India, 2019 SCC OnLine Mad 8910</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https://firstprecedent.org/lacunae/no-gst-appellate-tribunal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