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Lacuna · LC-0055 · Environment</w:t>
      </w:r>
    </w:p>
    <w:p>
      <w:pPr>
        <w:pStyle w:val="Title"/>
      </w:pPr>
      <w:r>
        <w:t xml:space="preserve">Groundwater Tied to Land Ownership</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gap</w:t>
      </w:r>
    </w:p>
    <w:p>
      <w:pPr>
        <w:pStyle w:val="Guidance"/>
      </w:pPr>
      <w:r>
        <w:t xml:space="preserve">What Indian law does not cover, stated precisely.</w:t>
      </w:r>
    </w:p>
    <w:p/>
    <w:p>
      <w:pPr>
        <w:pStyle w:val="Heading1"/>
      </w:pPr>
      <w:r>
        <w:t xml:space="preserve">Who is affected</w:t>
      </w:r>
    </w:p>
    <w:p>
      <w:pPr>
        <w:pStyle w:val="Guidance"/>
      </w:pPr>
      <w:r>
        <w:t xml:space="preserve">The people or cases left without a rule or a remedy.</w:t>
      </w:r>
    </w:p>
    <w:p/>
    <w:p>
      <w:pPr>
        <w:pStyle w:val="Heading1"/>
      </w:pPr>
      <w:r>
        <w:t xml:space="preserve">How the gap arose</w:t>
      </w:r>
    </w:p>
    <w:p>
      <w:pPr>
        <w:pStyle w:val="Guidance"/>
      </w:pPr>
      <w:r>
        <w:t xml:space="preserve">Bills that lapsed, reports not acted on, cases that left it to Parliament.</w:t>
      </w:r>
    </w:p>
    <w:p/>
    <w:p>
      <w:pPr>
        <w:pStyle w:val="Heading1"/>
      </w:pPr>
      <w:r>
        <w:t xml:space="preserve">What others do</w:t>
      </w:r>
    </w:p>
    <w:p>
      <w:pPr>
        <w:pStyle w:val="Guidance"/>
      </w:pPr>
      <w:r>
        <w:t xml:space="preserve">How one or two other countries deal with it.</w:t>
      </w:r>
    </w:p>
    <w:p/>
    <w:p>
      <w:pPr>
        <w:pStyle w:val="Heading1"/>
      </w:pPr>
      <w:r>
        <w:t xml:space="preserve">What could be done</w:t>
      </w:r>
    </w:p>
    <w:p>
      <w:pPr>
        <w:pStyle w:val="Guidance"/>
      </w:pPr>
      <w:r>
        <w:t xml:space="preserve">The realistic options and the one you prefer.</w:t>
      </w:r>
    </w:p>
    <w:p/>
    <w:p>
      <w:pPr>
        <w:pStyle w:val="Heading1"/>
      </w:pPr>
      <w:r>
        <w:t xml:space="preserve">Notes for the writer (delete before submitting)</w:t>
      </w:r>
    </w:p>
    <w:p>
      <w:pPr>
        <w:pStyle w:val="Guidance"/>
      </w:pPr>
      <w:r>
        <w:t xml:space="preserve">Scope of this entry. Whoever owns the land may draw what lies beneath it, under a rule from 1882.</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Indian Easements Act, 1882, § 7, illus. (g)</w:t>
      </w:r>
    </w:p>
    <w:p>
      <w:pPr>
        <w:pStyle w:val="Bullet"/>
      </w:pPr>
      <w:r>
        <w:t xml:space="preserve">•  Model Groundwater (Sustainable Management) Bill, 2017</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https://firstprecedent.org/lacunae/no-groundwater-law</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