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LC-0007 · Human Rights</w:t>
      </w:r>
    </w:p>
    <w:p>
      <w:pPr>
        <w:pStyle w:val="Title"/>
      </w:pPr>
      <w:r>
        <w:t xml:space="preserve">No General Anti-Discrimination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Article 15(2) reaches some private conduct, but there is no statute against discrimination in housing, employment and services by private actors.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15(2)</w:t>
      </w:r>
    </w:p>
    <w:p>
      <w:pPr>
        <w:pStyle w:val="Bullet"/>
      </w:pPr>
      <w:r>
        <w:t xml:space="preserve">•  Zoroastrian Co-operative Housing Society Ltd. v. District Registrar, (2005) 5 SCC 632</w:t>
      </w:r>
    </w:p>
    <w:p>
      <w:pPr>
        <w:pStyle w:val="Bullet"/>
      </w:pPr>
      <w:r>
        <w:t xml:space="preserve">•  Indian Medical Assn. v. Union of India, (2011) 7 SCC 179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https://firstprecedent.org/lacunae/no-general-anti-discrimination-law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