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LC-0050 · Tech &amp; Data</w:t>
      </w:r>
    </w:p>
    <w:p>
      <w:pPr>
        <w:pStyle w:val="Title"/>
      </w:pPr>
      <w:r>
        <w:t xml:space="preserve">Facial Recognition without a Statute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Police forces use it under no specific law, against the requirement that an intrusion on privacy be authorised by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Criminal Procedure (Identification) Act, 2022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https://firstprecedent.org/lacunae/no-facial-recognition-law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