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LC-0034 · Competition</w:t>
      </w:r>
    </w:p>
    <w:p>
      <w:pPr>
        <w:pStyle w:val="Title"/>
      </w:pPr>
      <w:r>
        <w:t xml:space="preserve">No Ex Ante Rules for Digital Gatekeepers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Large platforms are dealt with only after harm, through slow abuse of dominance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Committee on Digital Competition Law, Report (2024)</w:t>
      </w:r>
    </w:p>
    <w:p>
      <w:pPr>
        <w:pStyle w:val="Bullet"/>
      </w:pPr>
      <w:r>
        <w:t xml:space="preserve">•  Competition Act, 2002, § 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https://firstprecedent.org/lacunae/no-digital-markets-law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