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LC-0040 · Banking</w:t>
      </w:r>
    </w:p>
    <w:p>
      <w:pPr>
        <w:pStyle w:val="Title"/>
      </w:pPr>
      <w:r>
        <w:t xml:space="preserve">Depositors in a Failed Bank</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Insurance covers five lakh rupees; above that a depositor waits on a moratorium and a scheme.</w:t>
      </w:r>
    </w:p>
    <w:p>
      <w:pPr>
        <w:pStyle w:val="Guidance"/>
      </w:pPr>
      <w:r>
        <w:t xml:space="preserve">Authorities to start from. These are places to begin, listed by the editors. Read each one in the original and check the citation before you rely on it.</w:t>
      </w:r>
    </w:p>
    <w:p>
      <w:pPr>
        <w:pStyle w:val="Bullet"/>
      </w:pPr>
      <w:r>
        <w:t xml:space="preserve">•  Deposit Insurance and Credit Guarantee Corporation Act, 1961, § 16</w:t>
      </w:r>
    </w:p>
    <w:p>
      <w:pPr>
        <w:pStyle w:val="Bullet"/>
      </w:pPr>
      <w:r>
        <w:t xml:space="preserve">•  Banking Regulation Act, 1949, § 45</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https://firstprecedent.org/lacunae/no-deposit-insurance-above-cap</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