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LC-0062 · Human Rights</w:t>
      </w:r>
    </w:p>
    <w:p>
      <w:pPr>
        <w:pStyle w:val="Title"/>
      </w:pPr>
      <w:r>
        <w:t xml:space="preserve">No Scale for Custodial Death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Compensation for a death in custody varies from court to court, because no statute sets out how it is to be measured.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Nilabati Behera v. State of Orissa, (1993) 2 SCC 746</w:t>
      </w:r>
    </w:p>
    <w:p>
      <w:pPr>
        <w:pStyle w:val="Bullet"/>
      </w:pPr>
      <w:r>
        <w:t xml:space="preserve">•  Protection of Human Rights Act, 1993, § 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https://firstprecedent.org/lacunae/no-custodial-violence-compensation-scale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