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LC-0035 · Competition</w:t>
      </w:r>
    </w:p>
    <w:p>
      <w:pPr>
        <w:pStyle w:val="Title"/>
      </w:pPr>
      <w:r>
        <w:t xml:space="preserve">No Criminal Liability for Cartels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Price-fixing attracts only a monetary penalty on the enterprise and its officers.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27, 48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https://firstprecedent.org/lacunae/no-criminal-cartel-offence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