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LC-0043 · IP</w:t>
      </w:r>
    </w:p>
    <w:p>
      <w:pPr>
        <w:pStyle w:val="Title"/>
      </w:pPr>
      <w:r>
        <w:t xml:space="preserve">Who Owns What a Machine Makes?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Act’s "computer-generated work" provision predates generative models and does not say who the author is.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2(d)(vi)</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https://firstprecedent.org/lacunae/no-copyright-rule-for-ai-works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