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LC-0064 · Property</w:t>
      </w:r>
    </w:p>
    <w:p>
      <w:pPr>
        <w:pStyle w:val="Title"/>
      </w:pPr>
      <w:r>
        <w:t xml:space="preserve">No Conclusive Title to Land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Registration records a deed and guarantees nothing; a buyer must still investigate thirty years of documents.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Registration Act, 1908</w:t>
      </w:r>
    </w:p>
    <w:p>
      <w:pPr>
        <w:pStyle w:val="Bullet"/>
      </w:pPr>
      <w:r>
        <w:t xml:space="preserve">•  Suraj Lamp &amp; Industries (P) Ltd. v. State of Haryana, (2012) 1 SCC 656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https://firstprecedent.org/lacunae/no-conclusive-land-title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