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LC-0023 · Family</w:t>
      </w:r>
    </w:p>
    <w:p>
      <w:pPr>
        <w:pStyle w:val="Title"/>
      </w:pPr>
      <w:r>
        <w:t xml:space="preserve">No Uniform Compulsory Registration of Marriages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Court directed registration in 2006; the law still varies by State and by religion.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Seema v. Ashwani Kumar, (2006) 2 SCC 578</w:t>
      </w:r>
    </w:p>
    <w:p>
      <w:pPr>
        <w:pStyle w:val="Bullet"/>
      </w:pPr>
      <w:r>
        <w:t xml:space="preserve">•  Law Commission of India, Report No. 270 (2017)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https://firstprecedent.org/lacunae/no-compulsory-marriage-registration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