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LC-0048 · Tech &amp; Data</w:t>
      </w:r>
    </w:p>
    <w:p>
      <w:pPr>
        <w:pStyle w:val="Title"/>
      </w:pPr>
      <w:r>
        <w:t xml:space="preserve">No Compensation for a Data Breach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2023 Act imposes penalties payable to the State and repealed the earlier compensation provision.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33, 44</w:t>
      </w:r>
    </w:p>
    <w:p>
      <w:pPr>
        <w:pStyle w:val="Bullet"/>
      </w:pPr>
      <w:r>
        <w:t xml:space="preserve">•  Information Technology Act, 2000, § 43A (omitted)</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https://firstprecedent.org/lacunae/no-compensation-for-data-breach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