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LC-0017 · Environment</w:t>
      </w:r>
    </w:p>
    <w:p>
      <w:pPr>
        <w:pStyle w:val="Title"/>
      </w:pPr>
      <w:r>
        <w:t xml:space="preserve">No Climate Change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has a recognised right against the adverse effects of climate change and no framework legislation to give it content.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M.K. Ranjitsinh v. Union of India, 2024 SCC OnLine SC 570</w:t>
      </w:r>
    </w:p>
    <w:p>
      <w:pPr>
        <w:pStyle w:val="Bullet"/>
      </w:pPr>
      <w:r>
        <w:t xml:space="preserve">•  Energy Conservation Act, 2001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https://firstprecedent.org/lacunae/no-climate-statute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