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LC-0061 · Private International</w:t>
      </w:r>
    </w:p>
    <w:p>
      <w:pPr>
        <w:pStyle w:val="Title"/>
      </w:pPr>
      <w:r>
        <w:t xml:space="preserve">No Statute on Choice of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Which country’s law governs a cross-border contract, tort or marriage is left to scattered case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NTPC v. Singer Co., (1992) 3 SCC 551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https://firstprecedent.org/lacunae/no-choice-of-law-statute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