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LC-0052 · Media</w:t>
      </w:r>
    </w:p>
    <w:p>
      <w:pPr>
        <w:pStyle w:val="Title"/>
      </w:pPr>
      <w:r>
        <w:t xml:space="preserve">No Statutory Regulator for News Television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Content is governed by a programme code and self-regulatory bodies with no power to bind non-members.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Cable Television Networks (Regulation) Act, 1995, § 5</w:t>
      </w:r>
    </w:p>
    <w:p>
      <w:pPr>
        <w:pStyle w:val="Bullet"/>
      </w:pPr>
      <w:r>
        <w:t xml:space="preserve">•  Secretary, Ministry of Information &amp; Broadcasting v. Cricket Assn. of Bengal, (1995) 2 SCC 161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https://firstprecedent.org/lacunae/no-broadcast-regulator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