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LC-0063 · Human Rights</w:t>
      </w:r>
    </w:p>
    <w:p>
      <w:pPr>
        <w:pStyle w:val="Title"/>
      </w:pPr>
      <w:r>
        <w:t xml:space="preserve">Human Rights Commissions That Can Only Recommend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Whether a government may ignore a recommendation for compensation, and the High Courts that say it may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Human Rights Act, 1993, § 18</w:t>
      </w:r>
    </w:p>
    <w:p>
      <w:pPr>
        <w:pStyle w:val="Bullet"/>
      </w:pPr>
      <w:r>
        <w:t xml:space="preserve">•  State of U.P. v. National Human Rights Commission, 2016 SCC OnLine All 239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https://firstprecedent.org/lacunae/no-binding-nhrc-orders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