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LC-0066 · Criminal</w:t>
      </w:r>
    </w:p>
    <w:p>
      <w:pPr>
        <w:pStyle w:val="Title"/>
      </w:pPr>
      <w:r>
        <w:t xml:space="preserve">No Bail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Bail is governed by scattered provisions and case law; the Court has asked for a separate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Satender Kumar Antil v. Central Bureau of Investigation, (2022) 10 SCC 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https://firstprecedent.org/lacunae/no-bail-statute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