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LC-0056 · Environment</w:t>
      </w:r>
    </w:p>
    <w:p>
      <w:pPr>
        <w:pStyle w:val="Title"/>
      </w:pPr>
      <w:r>
        <w:t xml:space="preserve">Air Pollution without Enforceable Standards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Ambient air standards exist; no one is answerable when a city breaches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(Prevention and Control of Pollution) Act, 1981</w:t>
      </w:r>
    </w:p>
    <w:p>
      <w:pPr>
        <w:pStyle w:val="Bullet"/>
      </w:pPr>
      <w:r>
        <w:t xml:space="preserve">•  M.C. Mehta v. Union of India, (2020) 7 SCC 530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https://firstprecedent.org/lacunae/no-air-quality-liability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