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LC-0078 · Tort</w:t>
      </w:r>
    </w:p>
    <w:p>
      <w:pPr>
        <w:pStyle w:val="Title"/>
      </w:pPr>
      <w:r>
        <w:t xml:space="preserve">A Fatal Accidents Act from 1855</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Outside motor accidents, a claim for wrongful death still rests on a short colonial statute with a narrow list of claimants.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Fatal Accidents Act, 1855, §§ 1A, 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https://firstprecedent.org/lacunae/fatal-accidents-act-of-1855</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