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FC-0032 · IP</w:t>
      </w:r>
    </w:p>
    <w:p>
      <w:pPr>
        <w:pStyle w:val="Title"/>
      </w:pPr>
      <w:r>
        <w:t xml:space="preserve">The Employer as First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work made in the course of employment belongs to the employer, though the employee created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17</w:t>
      </w:r>
    </w:p>
    <w:p>
      <w:pPr>
        <w:pStyle w:val="Bullet"/>
      </w:pPr>
      <w:r>
        <w:t xml:space="preserve">•  Indian Performing Right Society Ltd. v. Eastern Indian Motion Pictures Assn., (1977) 2 SCC 820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https://firstprecedent.org/fictions/work-for-hire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