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FC-0050 · Constitutional</w:t>
      </w:r>
    </w:p>
    <w:p>
      <w:pPr>
        <w:pStyle w:val="Title"/>
      </w:pPr>
      <w:r>
        <w:t xml:space="preserve">Voluntarily Giving Up Membership</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inference from a legislator’s conduct that they have left their party, though they never resigned from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Tenth Schedule, para. 2(1)(a)</w:t>
      </w:r>
    </w:p>
    <w:p>
      <w:pPr>
        <w:pStyle w:val="Bullet"/>
      </w:pPr>
      <w:r>
        <w:t xml:space="preserve">•  Ravi S. Naik v. Union of India, 1994 Supp (2) SCC 641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https://firstprecedent.org/fictions/voluntarily-giving-up-membership</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