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FC-0016 · Corporate</w:t>
      </w:r>
    </w:p>
    <w:p>
      <w:pPr>
        <w:pStyle w:val="Title"/>
      </w:pPr>
      <w:r>
        <w:t xml:space="preserve">The Director Deemed Guilty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Statutory fictions that make persons in charge of a company guilty of its offence, and the pleading needed to invoke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S.M.S. Pharmaceuticals Ltd. v. Neeta Bhalla, (2005) 8 SCC 89</w:t>
      </w:r>
    </w:p>
    <w:p>
      <w:pPr>
        <w:pStyle w:val="Bullet"/>
      </w:pPr>
      <w:r>
        <w:t xml:space="preserve">•  Aneeta Hada v. Godfather Travels &amp; Tours (P) Ltd., (2012) 5 SCC 661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https://firstprecedent.org/fictions/vicarious-liability-of-directors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