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FC-0035 · Legal History</w:t>
      </w:r>
    </w:p>
    <w:p>
      <w:pPr>
        <w:pStyle w:val="Title"/>
      </w:pPr>
      <w:r>
        <w:t xml:space="preserve">The State as Successor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How the Union and the States were treated as successors to the rights and liabilities of British India and the princely States.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294–295</w:t>
      </w:r>
    </w:p>
    <w:p>
      <w:pPr>
        <w:pStyle w:val="Bullet"/>
      </w:pPr>
      <w:r>
        <w:t xml:space="preserve">•  State of Rajasthan v. Vidhyawati, AIR 1962 SC 933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https://firstprecedent.org/fictions/state-succession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