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FC-0085 · Tax</w:t>
      </w:r>
    </w:p>
    <w:p>
      <w:pPr>
        <w:pStyle w:val="Title"/>
      </w:pPr>
      <w:r>
        <w:t xml:space="preserve">Stamp Duty Value as Consideration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rule that the value adopted for stamp duty is deemed to be the price received on a sale of land or buildings.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Income-tax Act, 1961, § 50C</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https://firstprecedent.org/fictions/stamp-duty-value-as-consideration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