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FC-0092 · Jurisprudence</w:t>
      </w:r>
    </w:p>
    <w:p>
      <w:pPr>
        <w:pStyle w:val="Title"/>
      </w:pPr>
      <w:r>
        <w:t xml:space="preserve">Social Contract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imagined agreement by which people leave a state of nature and set up government, used to explain why law binds.</w:t>
      </w:r>
    </w:p>
    <w:p>
      <w:pPr>
        <w:pStyle w:val="Guidance"/>
      </w:pPr>
      <w:r>
        <w:t xml:space="preserve">Authorities to start from. These are places to begin, listed by the editors. Read each one in the original and check the citation before you rely on it.</w:t>
      </w:r>
    </w:p>
    <w:p>
      <w:pPr>
        <w:pStyle w:val="Bullet"/>
      </w:pPr>
      <w:r>
        <w:t xml:space="preserve">•  Thomas Hobbes, Leviathan (1651)</w:t>
      </w:r>
    </w:p>
    <w:p>
      <w:pPr>
        <w:pStyle w:val="Bullet"/>
      </w:pPr>
      <w:r>
        <w:t xml:space="preserve">•  John Locke, Two Treatises of Government (1689)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https://firstprecedent.org/fictions/social-contract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