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FC-0041 · International (Public)</w:t>
      </w:r>
    </w:p>
    <w:p>
      <w:pPr>
        <w:pStyle w:val="Title"/>
      </w:pPr>
      <w:r>
        <w:t xml:space="preserve">The Ship as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vessel on the high seas is treated as part of the State whose flag it flies, for jurisdiction over what happens on board.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S.S. Lotus (Fr. v. Turk.), 1927 P.C.I.J. (ser. A) No. 10</w:t>
      </w:r>
    </w:p>
    <w:p>
      <w:pPr>
        <w:pStyle w:val="Bullet"/>
      </w:pPr>
      <w:r>
        <w:t xml:space="preserve">•  United Nations Convention on the Law of the Sea arts. 92, 97,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https://firstprecedent.org/fictions/ship-as-territory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